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ИНФОРМАЦИЯ ПО ВОПРОСУ № 3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"</w:t>
      </w:r>
      <w:r>
        <w:rPr>
          <w:rStyle w:val="12"/>
          <w:rFonts w:eastAsia="" w:cs="Times New Roman" w:eastAsiaTheme="minorHAnsi"/>
          <w:color w:val="000000" w:themeColor="text1"/>
          <w:kern w:val="0"/>
          <w:sz w:val="28"/>
          <w:szCs w:val="28"/>
          <w:lang w:val="ru-RU" w:eastAsia="en-US" w:bidi="ar-SA"/>
        </w:rPr>
        <w:t>Об анализе нормативных правовых актов Омской области и правоприменительной практики на предмет устранения барьеров для участия негосударственных организаций в предоставлении услуг в социальной сфере</w:t>
      </w:r>
      <w:r>
        <w:rPr>
          <w:rFonts w:cs="Times New Roman" w:ascii="Times New Roman" w:hAnsi="Times New Roman"/>
          <w:color w:val="000000"/>
          <w:sz w:val="28"/>
          <w:szCs w:val="28"/>
        </w:rPr>
        <w:t>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Мониторинг правоприменительной практики, нормативных правовых актов на предмет наличия барьеров к доступу негосударственных организаций</w:t>
        <w:br/>
        <w:t>к оказанию услуг в социальной сфере проводится органами исполнительной власти Омской области в рамках текущей деятельности.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Министерством здравоохранения Омской области (далее – Минздрав) по результатам анализа установлено, что административные барьеры отсутствуют.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Минздравом субсидии на реализацию социально значимых проектов (программ), в соответствии с правовыми актами Омской области, социально ориентированным некоммерческим организациям (далее – СОНКО) в 2024 году</w:t>
        <w:br/>
        <w:t>не предоставлялись.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 этом бюджетным учреждением здравоохранения Омской области "Центр по профилактике и борьбе со СПИД и инфекционными заболеваниями" осуществляется привлечение СОНКО к профилактическим мероприятиям</w:t>
        <w:br/>
        <w:t>ВИЧ-инфекции, вирусных гепатитов В и С на территории Омской области за счет средств субсидий федерального бюджета в рамках Федерального закона</w:t>
        <w:br/>
        <w:t>от 5 апреля 2013 года №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ConsPlusTitle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/>
          <w:b w:val="false"/>
          <w:color w:val="000000" w:themeColor="text1"/>
          <w:sz w:val="28"/>
          <w:szCs w:val="28"/>
        </w:rPr>
        <w:t>С начала 2024 года заключен 1 прямой договор и 8 контрактов</w:t>
        <w:br/>
        <w:t>на общую сумму 2 692 850 рублей на проведение профилактических мероприятий на территории Омской области со следующими СОНКО: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ab/>
        <w:t>- Омское региональное молодежное общественное движение "Омская молодежь";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ab/>
        <w:t>- автономная некоммерческая организация "Центр социальной поддержки "Выбери жизнь";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ab/>
        <w:t>- а</w:t>
      </w: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>втономная некоммерческая организация "Все в твоих руках";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 w:bidi="ru-RU"/>
        </w:rPr>
        <w:tab/>
        <w:t>- автономная некоммерческая организация "Центр формирования здорового образа жизни "Здоровье нации".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Министерством экономического развития Омской области </w:t>
      </w: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>(далее –</w:t>
      </w:r>
      <w:r>
        <w:rPr>
          <w:color w:val="000000"/>
          <w:sz w:val="28"/>
          <w:szCs w:val="28"/>
          <w:shd w:fill="auto" w:val="clear"/>
        </w:rPr>
        <w:t xml:space="preserve"> Минэкономразвития) в соответствии с государственной программой "Развитие экономического потенциала в Омской области", утвержденной постановлением Правительства Омской области от 28 октября 2023 года № 579-п, субъектам малого и среднего предпринимательства (далее – СМСП), признанным социальными предприятиями в установленном законодательством порядке, предоставляются субсидии на возмещение (финансовое обеспечение) части затрат, связанных: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осуществлением социально ответственной деятельности СМСП, направленной на решение социальных проблем;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реализацией проектов по организации групп дневного времяпрепровождения детей дошкольного возраста и иных подобных им видов деятельности по уходу и присмотру за детьми;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реализацией совместных проектов СМСП – участников (резидентов) Омского кластера социальных инноваций;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реализацией проектов в сфере социального предпринимательства.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Порядки предоставления из областного бюджета субсидий в сфере поддержки малого и среднего предпринимательства, утверждены постановлением Правительства Омской области от 4 апреля 2024 года № 201-п.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Также предоставляются субсидии СОНКО на создание и (или) развитие центра инноваций социальной сферы.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Порядок предоставления субсидий из областного бюджета некоммерческим организациям, образующим инфраструктуру поддержки СМСП в Омской области, на финансовое обеспечение затрат, связанных с созданием и (или) развитием центра инноваций социальной сферы, утвержден постановлением Правительства Омской области от 25 января 2024 года № 19-п.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Цели и условия предоставления субсидий установлены с учетом необходимости достижения целей и задач государственной программы Омской области "Развитие экономического потенциала Омской области" и не содержат барьеры для участия негосударственных организаций в предоставлении услуг</w:t>
        <w:br/>
        <w:t>в социальной сфере.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 xml:space="preserve">Порядки предоставления субсидий разработаны в соответствии с 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Российской Федерации от 25 октября 2023 года № 1782 </w:t>
      </w:r>
      <w:r>
        <w:rPr>
          <w:rFonts w:eastAsia="Times New Roman" w:cs="Times New Roman"/>
          <w:b w:val="false"/>
          <w:color w:val="000000"/>
          <w:sz w:val="28"/>
          <w:szCs w:val="28"/>
          <w:shd w:fill="auto" w:val="clear"/>
          <w:lang w:eastAsia="ru-RU"/>
        </w:rPr>
        <w:t>(далее – постановление № 1782)</w:t>
      </w: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 xml:space="preserve">Итогом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проведения анализа нормативных правовых актов Омской области</w:t>
        <w:br/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и правоприменительной практики на предмет устранения барьеров для участия негосударственных организаций в предоставлении услуг в социальной сфере</w:t>
        <w:br/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в рамках компетенции Министерства культуры Омской области (далее – Минкультуры) 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стало принятие п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остановления Правительства Омской области</w:t>
        <w:br/>
        <w:t xml:space="preserve">от 1 августа 2024 года № 431-п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О внесении изменений в отдельные постановления Правительства Омской области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По информации Министерства образования Омской области (далее – Минобразования), внесение изменений в нормативные правовые акты Омской области, регулирующие предоставление социальных услуг, подготовка новых проектов документов, направленных на устранение административных барьеров, излишних ограничений в развитии конкурентной среды на рынке, не требуется.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Административные барьеры к доступу негосударственных организаций к бюджетному финансированию оказания услуг в социальной сфере отсутствуют.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Нормативные правовые акты Омской области, регулирующие предоставление субсидий, в том числе в форме грантов, негосударственным образовательным организациям, осуществляющим деятельность в сфере образования, соответствуют бюджетному законодательству Российской Федерации, в том числе постановлению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№ 1782.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Главное управление молодежной политики Омской области (далее – Г</w:t>
      </w:r>
      <w:r>
        <w:rPr>
          <w:rFonts w:eastAsia="Calibri" w:ascii="Times New Roman" w:hAnsi="Times New Roman"/>
          <w:color w:val="000000"/>
          <w:sz w:val="28"/>
          <w:szCs w:val="28"/>
        </w:rPr>
        <w:t>У</w:t>
      </w:r>
      <w:r>
        <w:rPr>
          <w:rFonts w:eastAsia="Calibri" w:ascii="Times New Roman" w:hAnsi="Times New Roman"/>
          <w:color w:val="000000"/>
          <w:sz w:val="28"/>
          <w:szCs w:val="28"/>
        </w:rPr>
        <w:t>МП) организует и координирует проведение мероприятий по государственной поддержке детских и молодежных общественных объединений, действующих на территории Омской области, содействует информационному и методическому обеспечению их деятельности.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Г</w:t>
      </w:r>
      <w:r>
        <w:rPr>
          <w:rFonts w:eastAsia="Calibri" w:ascii="Times New Roman" w:hAnsi="Times New Roman"/>
          <w:color w:val="000000"/>
          <w:sz w:val="28"/>
          <w:szCs w:val="28"/>
        </w:rPr>
        <w:t>У</w:t>
      </w:r>
      <w:r>
        <w:rPr>
          <w:rFonts w:eastAsia="Calibri" w:ascii="Times New Roman" w:hAnsi="Times New Roman"/>
          <w:color w:val="000000"/>
          <w:sz w:val="28"/>
          <w:szCs w:val="28"/>
        </w:rPr>
        <w:t>МП предоставляет государственную услугу по формированию областного реестра детских и молодежных общественных объединений, пользующихся государственной поддержкой (далее – реестр).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Административный регламент предоставления государственной услуги по формированию областного реестра детских и молодежных общественных объединений, пользующихся государственной поддержкой (далее – государственная услуга), утвержден приказом Г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МП от 5 сентября 2024 года</w:t>
        <w:br/>
        <w:t>№ 20 и разработан в целях повышения качества и доступности предоставления государственной услуги, создания благоприятных условий для получателей государственной услуги.</w:t>
      </w:r>
    </w:p>
    <w:p>
      <w:pPr>
        <w:pStyle w:val="Normal"/>
        <w:tabs>
          <w:tab w:val="clear" w:pos="708"/>
          <w:tab w:val="left" w:pos="567" w:leader="none"/>
          <w:tab w:val="left" w:pos="1418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Порядком определения объема и предоставления за счет средств областного бюджета субсидий некоммерческим организациям, не являющимся государственными (муниципальными) учреждениями, осуществляющим деятельность в сфере молодежной политики, утвержденным постановлением Правительства Омской области от 23 июня 2021 года № 251-п,</w:t>
        <w:br/>
      </w:r>
      <w:r>
        <w:rPr>
          <w:rFonts w:ascii="Times New Roman" w:hAnsi="Times New Roman"/>
          <w:color w:val="000000"/>
          <w:sz w:val="28"/>
          <w:szCs w:val="28"/>
        </w:rPr>
        <w:t>в 2024 году победителями конкурсного отбора на предоставление субсидий детским и молодежным общественным объединениям, включенным в реестр, стали 17 объединений. Общая сумма поддержки составила 1 792 500 рублей</w:t>
        <w:br/>
      </w: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>(в 2023 году – 11 объединений и 1,5 млн рублей соответственно).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В 2023 году сформирован рейтинг на лучшее муниципальное учреждение сферы молодежной политики. Основные критерии рейтинга – участие</w:t>
        <w:br/>
        <w:t>в мероприятиях различного уровня, поддержка молодежных инициатив, наличие базовых условий и инфраструктуры. Победителям: Кормиловскому, Калачинскому, Большеуковскому и Павлоградскому районам, выделены средства субсидии в размере 250 000 рублей каждому. Они направлены на приобретение оборудования, мебели, атрибутики.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Кроме того, выделена субсидия в размере 1,35 млн рублей на капитальный ремонт и материально-техническое оснащение, в том числе приобретение спортивного оборудования, учреждений сферы молодежной политики</w:t>
        <w:br/>
        <w:t>5 муниципальным районам: Кормиловскому, Крутинскому, Омскому,</w:t>
        <w:br/>
        <w:t>Усть-Ишимскому, Черлакскому районам.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 xml:space="preserve">Цели и условия предоставления субсидий установлены с учетом необходимости достижения целей и задач государственной программы Омской области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Calibri" w:ascii="Times New Roman" w:hAnsi="Times New Roman"/>
          <w:color w:val="000000"/>
          <w:sz w:val="28"/>
          <w:szCs w:val="28"/>
        </w:rPr>
        <w:t>Реализация молодежной политики в Омской области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 и не содержат барьеров для участия негосударственных организаций в предоставлении услуг</w:t>
        <w:br/>
        <w:t>в социальной сфере.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Порядки предоставления субсидий разработаны в соответствии с общими требованиями к нормативным правовым актам, муниципальным правовым актам, регулирующим предоставление субсидий.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В рамках выполнения постановления № 1782 Министерством труда</w:t>
        <w:br/>
        <w:t>и социального развития Омской области (далее – Минтруд) осуществлено внесение изменений в порядки предоставления субсидий СОНКО.</w:t>
      </w:r>
    </w:p>
    <w:p>
      <w:pPr>
        <w:pStyle w:val="Normal"/>
        <w:keepNext w:val="true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 2024 году актуализированы: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shd w:fill="auto" w:val="clear"/>
        </w:rPr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</w:rPr>
        <w:t>- постановление Правительства Омской области от 13 марта 2013 года</w:t>
        <w:br/>
        <w:t>№ 43-п "Об утверждении Порядка определения объема и предоставления субсидий социально ориентированным некоммерческим организациям, осуществляющим деятельность в социальной сфере";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</w:rPr>
        <w:t>- </w:t>
      </w:r>
      <w:r>
        <w:rPr>
          <w:rFonts w:eastAsia="Times New Roman" w:cs="Times New Roman" w:ascii="Times New Roman" w:hAnsi="Times New Roman"/>
          <w:b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постановление Правительства Омской области от 6 апреля 2016 года</w:t>
        <w:br/>
        <w:t>№ 90-п "Об утверждении Порядка выплаты компенсации поставщику или поставщикам социальных услуг, которые включены в реестр поставщиков социальных услуг Омской области,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услуг";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- постановление Правительства Омской области от 18 января 2017 года</w:t>
        <w:br/>
        <w:t>№ 5-п "Об утверждении Порядка предоставления субсидий в сфере социальной политики юридическим лицам (за исключением государственных (муниципальных) учреждений) и индивидуальным предпринимателям";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b w:val="false"/>
          <w:spacing w:val="0"/>
          <w:kern w:val="0"/>
          <w:sz w:val="28"/>
          <w:szCs w:val="28"/>
          <w:shd w:fill="auto" w:val="clear"/>
          <w:lang w:val="ru-RU" w:eastAsia="ru-RU" w:bidi="ar-SA"/>
        </w:rPr>
        <w:t>- </w:t>
      </w:r>
      <w:hyperlink r:id="rId2">
        <w:r>
          <w:rPr>
            <w:rStyle w:val="-"/>
            <w:rFonts w:eastAsia="Times New Roman" w:cs="Times New Roman" w:ascii="Times New Roman" w:hAnsi="Times New Roman"/>
            <w:b w:val="false"/>
            <w:color w:val="000000"/>
            <w:spacing w:val="0"/>
            <w:kern w:val="0"/>
            <w:sz w:val="28"/>
            <w:szCs w:val="28"/>
            <w:u w:val="none"/>
            <w:shd w:fill="auto" w:val="clear"/>
            <w:lang w:val="ru-RU" w:eastAsia="ru-RU" w:bidi="ar-SA"/>
          </w:rPr>
          <w:t>постановление</w:t>
        </w:r>
      </w:hyperlink>
      <w:r>
        <w:rPr>
          <w:rFonts w:eastAsia="Times New Roman" w:cs="Times New Roman" w:ascii="Times New Roman" w:hAnsi="Times New Roman"/>
          <w:b w:val="false"/>
          <w:spacing w:val="0"/>
          <w:kern w:val="0"/>
          <w:sz w:val="28"/>
          <w:szCs w:val="28"/>
          <w:shd w:fill="auto" w:val="clear"/>
          <w:lang w:val="ru-RU" w:eastAsia="ru-RU" w:bidi="ar-SA"/>
        </w:rPr>
        <w:t xml:space="preserve"> Правительства Омской области от 28 октября 2023 года</w:t>
        <w:br/>
        <w:t xml:space="preserve">№ 570-п "Об утверждении государственной программы Омской области "Социальная поддержка населения" (в части обеспечения распределения субсидий бюджетам муниципальных образований Омской области из областного бюджета на оказание финансовой поддержки СОНКО в соответствии с законом Омской области об областном бюджете на очередной финансовый год и плановый период;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уточнены целевые показатели).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Кроме того, в рамках выполнения пункта 1 Комплексного плана мероприятий Омской области по обеспечению поэтапного доступа негосударственных организаций, осуществляющих деятельность в социальной сфере, к бюджетным средствам, выделяемым на предоставление социальных услуг населению, на 2021 – 2024 годы, утвержденного распоряжением Губернатора Омской области от 24 сентября 2021 года № 117-р, Минздравом, Минобразования, Минкультуры, Минэкономразвития, Минтрудом, Министерством спорта Омской области, 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МП, Администрацией города Омска проведен опрос в формате анкетирования негосударственных организаций, осуществляющих деятельность</w:t>
        <w:br/>
        <w:t>в социальной сфере (юридических лиц, в том числе СОНКО, а также индивидуальных предпринимателей, осуществляющих деятельность в сферах социального обслуживания, здравоохранения, образования, культуры, физической культуры, спорта и молодежной политики).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Опрос проводился в целях выявления административных барьеров (препятствий) в осуществлении деятельности в социальной сфере, создаваемых нормативными и распорядительными документами, действиями (бездействием) органов государственной власти и органов местного самоуправления.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Всего обработано 128 анкет, заполненных негосударственными организациями. Все опрошенные негосударственные организации получают финансовую поддержку из областного бюджета.</w:t>
      </w:r>
    </w:p>
    <w:p>
      <w:pPr>
        <w:sectPr>
          <w:headerReference w:type="default" r:id="rId3"/>
          <w:headerReference w:type="first" r:id="rId4"/>
          <w:type w:val="nextPage"/>
          <w:pgSz w:w="11906" w:h="16838"/>
          <w:pgMar w:left="1304" w:right="624" w:gutter="0" w:header="488" w:top="914" w:footer="0" w:bottom="757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 приложении представлены результаты анкетирования в целом, а также</w:t>
        <w:br/>
        <w:t>по отраслевой принадлежности.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Общие результаты анкетирования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shd w:fill="FFFF00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00" w:val="clear"/>
          <w:lang w:eastAsia="ru-RU"/>
        </w:rPr>
      </w:r>
    </w:p>
    <w:tbl>
      <w:tblPr>
        <w:tblW w:w="14629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2"/>
        <w:gridCol w:w="4174"/>
        <w:gridCol w:w="3047"/>
        <w:gridCol w:w="6875"/>
      </w:tblGrid>
      <w:tr>
        <w:trPr>
          <w:tblHeader w:val="true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п/п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Вопрос анкеты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Число респондентов, ед.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Комментарии (замечания) респондентов (орфография и стилистика ответов респондентов сохранена)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14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Укажите, форму негосударственной организации: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СОНКО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116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юридическое лицо, которому присвоен статус социального предприятия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ИП, которому присвоен статус социального предприятия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11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субъект МСП (юридическое лицо, ИП), не имеющий статуса социального предприятия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2</w:t>
            </w:r>
          </w:p>
        </w:tc>
        <w:tc>
          <w:tcPr>
            <w:tcW w:w="14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течение какого периода времени Ваша негосударственная организация осуществляет деятельность?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менее 1 года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2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от 1 года до 3 лет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7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более 3 лет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119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3</w:t>
            </w:r>
          </w:p>
        </w:tc>
        <w:tc>
          <w:tcPr>
            <w:tcW w:w="14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Укажите сферу, в которой осуществляет деятельность Ваша негосударственная организация: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социальное обслуживание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22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здравоохранение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образование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18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культура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4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физическая культура и спорт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42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молодежная политика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25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другое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13</w:t>
            </w: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"Работа по оказанию поддержки отдельным категориям населения, координация работы по реализации социально значимых проектов, направленных на работу с молодежью и пожилыми людьми. Помощь учреждениям культуры, образования, здравоохранения и социального обеспечения";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"Охрана окружающей среды";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"Благотворительность и добровольчество";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"Экологическое воспитание";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"Общественная, социальная, культурно-массовая среди ветеранов и пенсионеров";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"Общественная и социально-культурная деятельность";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"Деятельность прочих общественных организаций, не включенных в другие группировки";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"Омский Союз десантников, согласно своего устава занимается социальной защитой своих членов и членов их семей, военно-патриотическим воспитанием молодежи, пропагандой службы в Вооруженных Силах России";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"Общественная, социальная, культурно-массовая среди ветеранов и пенсионеров";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"Деятельность прочих общественных организаций, не включенных в другие группировки";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"Содействие защиты законных прав пенсионеров";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"Консультативная и методическая поддержка СОНКО и социальных предпринимателей (ресурсный центр)";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"Реабилитация для лиц, страдающих наркотической и алкогольной зависимостью"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highlight w:val="none"/>
          <w:shd w:fill="FFFF00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00" w:val="clear"/>
        </w:rPr>
      </w:r>
    </w:p>
    <w:p>
      <w:pPr>
        <w:pStyle w:val="Normal"/>
        <w:pageBreakBefore w:val="false"/>
        <w:spacing w:lineRule="auto" w:line="240" w:before="0" w:after="0"/>
        <w:jc w:val="center"/>
        <w:rPr/>
      </w:pPr>
      <w:r>
        <w:rPr/>
      </w:r>
    </w:p>
    <w:sectPr>
      <w:headerReference w:type="default" r:id="rId5"/>
      <w:headerReference w:type="first" r:id="rId6"/>
      <w:type w:val="nextPage"/>
      <w:pgSz w:orient="landscape" w:w="16838" w:h="11906"/>
      <w:pgMar w:left="1304" w:right="624" w:gutter="0" w:header="488" w:top="913" w:footer="0" w:bottom="75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fldChar w:fldCharType="begin"/>
    </w:r>
    <w:r>
      <w:rPr>
        <w:sz w:val="24"/>
        <w:szCs w:val="24"/>
        <w:rFonts w:cs="Times New Roman" w:ascii="Times New Roman" w:hAnsi="Times New Roman"/>
      </w:rPr>
      <w:instrText xml:space="preserve"> PAGE </w:instrText>
    </w:r>
    <w:r>
      <w:rPr>
        <w:sz w:val="24"/>
        <w:szCs w:val="24"/>
        <w:rFonts w:cs="Times New Roman" w:ascii="Times New Roman" w:hAnsi="Times New Roman"/>
      </w:rPr>
      <w:fldChar w:fldCharType="separate"/>
    </w:r>
    <w:r>
      <w:rPr>
        <w:sz w:val="24"/>
        <w:szCs w:val="24"/>
        <w:rFonts w:cs="Times New Roman" w:ascii="Times New Roman" w:hAnsi="Times New Roman"/>
      </w:rPr>
      <w:t>6</w:t>
    </w:r>
    <w:r>
      <w:rPr>
        <w:sz w:val="24"/>
        <w:szCs w:val="24"/>
        <w:rFonts w:cs="Times New Roman" w:ascii="Times New Roman" w:hAnsi="Times New Roman"/>
      </w:rPr>
      <w:fldChar w:fldCharType="end"/>
    </w:r>
  </w:p>
  <w:p>
    <w:pPr>
      <w:pStyle w:val="Style29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keepLines/>
      <w:numPr>
        <w:ilvl w:val="0"/>
        <w:numId w:val="2"/>
      </w:numPr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  <w:lang w:val="ru-RU"/>
    </w:rPr>
  </w:style>
  <w:style w:type="paragraph" w:styleId="4">
    <w:name w:val="Heading 4"/>
    <w:basedOn w:val="Style21"/>
    <w:next w:val="Style22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b w:val="false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7z0">
    <w:name w:val="WW8Num7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Calibri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1z0">
    <w:name w:val="WW8Num11z0"/>
    <w:qFormat/>
    <w:rPr>
      <w:b w:val="false"/>
    </w:rPr>
  </w:style>
  <w:style w:type="character" w:styleId="WW8Num12z0">
    <w:name w:val="WW8Num12z0"/>
    <w:qFormat/>
    <w:rPr/>
  </w:style>
  <w:style w:type="character" w:styleId="Style12">
    <w:name w:val="Основной шрифт абзаца"/>
    <w:qFormat/>
    <w:rPr/>
  </w:style>
  <w:style w:type="character" w:styleId="1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3">
    <w:name w:val="Верхний колонтитул Знак"/>
    <w:basedOn w:val="Style12"/>
    <w:qFormat/>
    <w:rPr/>
  </w:style>
  <w:style w:type="character" w:styleId="Style14">
    <w:name w:val="Нижний колонтитул Знак"/>
    <w:qFormat/>
    <w:rPr>
      <w:sz w:val="22"/>
      <w:szCs w:val="22"/>
    </w:rPr>
  </w:style>
  <w:style w:type="character" w:styleId="Normaltextrunscxw84633811">
    <w:name w:val="normaltextrun scxw84633811"/>
    <w:basedOn w:val="Style12"/>
    <w:qFormat/>
    <w:rPr/>
  </w:style>
  <w:style w:type="character" w:styleId="Eopscxw84633811">
    <w:name w:val="eop scxw84633811"/>
    <w:basedOn w:val="Style12"/>
    <w:qFormat/>
    <w:rPr/>
  </w:style>
  <w:style w:type="character" w:styleId="Contextualspellingandgrammarerrorscxw84633811">
    <w:name w:val="contextualspellingandgrammarerror scxw84633811"/>
    <w:basedOn w:val="Style12"/>
    <w:qFormat/>
    <w:rPr/>
  </w:style>
  <w:style w:type="character" w:styleId="Spellingerrorscxw84633811">
    <w:name w:val="spellingerror scxw84633811"/>
    <w:basedOn w:val="Style12"/>
    <w:qFormat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6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7">
    <w:name w:val="Абзац списка Знак"/>
    <w:qFormat/>
    <w:rPr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Times New Roman" w:cs="Courier New"/>
    </w:rPr>
  </w:style>
  <w:style w:type="character" w:styleId="-">
    <w:name w:val="Hyperlink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2"/>
    <w:qFormat/>
    <w:rPr/>
  </w:style>
  <w:style w:type="character" w:styleId="Style18">
    <w:name w:val="Основной текст_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2"/>
    <w:qFormat/>
    <w:rPr/>
  </w:style>
  <w:style w:type="character" w:styleId="Style19">
    <w:name w:val="Знак Знак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character" w:styleId="DefaultParagraphFont">
    <w:name w:val="Default Paragraph Font"/>
    <w:qFormat/>
    <w:rPr/>
  </w:style>
  <w:style w:type="character" w:styleId="12">
    <w:name w:val="Основной текст1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styleId="DefaultParagraphFont0">
    <w:name w:val="Default Paragraph Font_0"/>
    <w:qFormat/>
    <w:rPr/>
  </w:style>
  <w:style w:type="character" w:styleId="Style20">
    <w:name w:val="FollowedHyperlink"/>
    <w:basedOn w:val="DefaultParagraphFont0"/>
    <w:rPr>
      <w:color w:val="800080"/>
      <w:u w:val="single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6">
    <w:name w:val="Абзац списка"/>
    <w:basedOn w:val="Normal"/>
    <w:qFormat/>
    <w:pPr>
      <w:spacing w:before="0" w:after="200"/>
      <w:ind w:left="720" w:right="0" w:hanging="0"/>
      <w:contextualSpacing/>
    </w:pPr>
    <w:rPr>
      <w:lang w:val="ru-RU"/>
    </w:rPr>
  </w:style>
  <w:style w:type="paragraph" w:styleId="Style27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8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9">
    <w:name w:val="Header"/>
    <w:basedOn w:val="Normal"/>
    <w:pPr>
      <w:spacing w:lineRule="auto" w:line="240" w:before="0" w:after="0"/>
    </w:pPr>
    <w:rPr/>
  </w:style>
  <w:style w:type="paragraph" w:styleId="Style3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  <w:lang w:val="ru-RU"/>
    </w:rPr>
  </w:style>
  <w:style w:type="paragraph" w:styleId="Style32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left="0" w:right="0"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val="ru-RU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  <w:lang w:val="ru-RU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left="0" w:right="19772"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3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paragraph" w:styleId="Style33">
    <w:name w:val="основной текст методрекомендаций"/>
    <w:basedOn w:val="Normal"/>
    <w:qFormat/>
    <w:pPr>
      <w:spacing w:lineRule="auto" w:line="240" w:before="0" w:after="0"/>
      <w:ind w:left="0" w:right="0" w:firstLine="708"/>
      <w:jc w:val="both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Western">
    <w:name w:val="western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148&amp;n=195942&amp;date=10.07.2024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Application>LibreOffice/7.5.3.2$Linux_X86_64 LibreOffice_project/50$Build-2</Application>
  <AppVersion>15.0000</AppVersion>
  <Pages>6</Pages>
  <Words>1577</Words>
  <Characters>11711</Characters>
  <CharactersWithSpaces>13196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2022-03-15T15:33:00Z</dcterms:created>
  <dc:creator>Hewlett-Packard Company</dc:creator>
  <dc:description/>
  <dc:language>ru-RU</dc:language>
  <cp:lastModifiedBy/>
  <cp:lastPrinted>2024-05-30T16:18:06Z</cp:lastPrinted>
  <dcterms:modified xsi:type="dcterms:W3CDTF">2024-09-23T17:17:32Z</dcterms:modified>
  <cp:revision>160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